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288"/>
      </w:tblGrid>
      <w:tr w:rsidR="008F5DA7" w:rsidRPr="002520AF" w:rsidTr="00964CC2">
        <w:trPr>
          <w:trHeight w:val="2880"/>
          <w:jc w:val="center"/>
        </w:trPr>
        <w:tc>
          <w:tcPr>
            <w:tcW w:w="5000" w:type="pct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783"/>
              <w:gridCol w:w="7506"/>
              <w:gridCol w:w="783"/>
            </w:tblGrid>
            <w:tr w:rsidR="00236DC4" w:rsidRPr="002520AF" w:rsidTr="005552D2">
              <w:tc>
                <w:tcPr>
                  <w:tcW w:w="30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64CC2" w:rsidRPr="002520AF" w:rsidRDefault="00964CC2" w:rsidP="001E1FD3">
                  <w:pPr>
                    <w:pStyle w:val="Sansinterligne"/>
                    <w:rPr>
                      <w:noProof/>
                    </w:rPr>
                  </w:pPr>
                  <w:bookmarkStart w:id="0" w:name="_GoBack"/>
                  <w:bookmarkEnd w:id="0"/>
                </w:p>
                <w:p w:rsidR="00964CC2" w:rsidRPr="002520AF" w:rsidRDefault="00964CC2" w:rsidP="001E1FD3">
                  <w:pPr>
                    <w:pStyle w:val="Sansinterligne"/>
                    <w:rPr>
                      <w:noProof/>
                    </w:rPr>
                  </w:pPr>
                </w:p>
                <w:p w:rsidR="00964CC2" w:rsidRPr="002520AF" w:rsidRDefault="00964CC2" w:rsidP="001E1FD3">
                  <w:pPr>
                    <w:pStyle w:val="Sansinterligne"/>
                    <w:rPr>
                      <w:noProof/>
                    </w:rPr>
                  </w:pPr>
                </w:p>
                <w:p w:rsidR="00236DC4" w:rsidRPr="002520AF" w:rsidRDefault="00236DC4" w:rsidP="001E1FD3">
                  <w:pPr>
                    <w:pStyle w:val="Sansinterligne"/>
                    <w:rPr>
                      <w:noProof/>
                    </w:rPr>
                  </w:pPr>
                </w:p>
              </w:tc>
              <w:tc>
                <w:tcPr>
                  <w:tcW w:w="30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6DC4" w:rsidRPr="002520AF" w:rsidRDefault="0016146D" w:rsidP="00DB55B3">
                  <w:pPr>
                    <w:pStyle w:val="Sansinterligne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59C0208" wp14:editId="7D06DEDE">
                        <wp:extent cx="4082131" cy="5791581"/>
                        <wp:effectExtent l="171450" t="171450" r="375920" b="36195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lyer_GBD  (1).jp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86277" cy="57974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64CC2" w:rsidRPr="002520AF" w:rsidRDefault="00964CC2" w:rsidP="001E1FD3">
                  <w:pPr>
                    <w:pStyle w:val="Sansinterligne"/>
                    <w:rPr>
                      <w:noProof/>
                    </w:rPr>
                  </w:pPr>
                </w:p>
                <w:p w:rsidR="00964CC2" w:rsidRPr="002520AF" w:rsidRDefault="00964CC2" w:rsidP="001E1FD3">
                  <w:pPr>
                    <w:pStyle w:val="Sansinterligne"/>
                    <w:rPr>
                      <w:noProof/>
                    </w:rPr>
                  </w:pPr>
                </w:p>
                <w:p w:rsidR="00964CC2" w:rsidRPr="002520AF" w:rsidRDefault="00964CC2" w:rsidP="001E1FD3">
                  <w:pPr>
                    <w:pStyle w:val="Sansinterligne"/>
                    <w:rPr>
                      <w:noProof/>
                    </w:rPr>
                  </w:pPr>
                </w:p>
                <w:p w:rsidR="00236DC4" w:rsidRPr="002520AF" w:rsidRDefault="00236DC4" w:rsidP="00964CC2">
                  <w:pPr>
                    <w:pStyle w:val="Sansinterligne"/>
                    <w:jc w:val="right"/>
                    <w:rPr>
                      <w:noProof/>
                    </w:rPr>
                  </w:pPr>
                </w:p>
              </w:tc>
            </w:tr>
          </w:tbl>
          <w:p w:rsidR="00236DC4" w:rsidRPr="002520AF" w:rsidRDefault="00236DC4" w:rsidP="00236DC4">
            <w:pPr>
              <w:pStyle w:val="Sansinterligne"/>
              <w:rPr>
                <w:rFonts w:eastAsiaTheme="majorEastAsia" w:cstheme="majorBidi"/>
                <w:caps/>
                <w:sz w:val="20"/>
                <w:szCs w:val="20"/>
              </w:rPr>
            </w:pPr>
          </w:p>
        </w:tc>
      </w:tr>
      <w:tr w:rsidR="008F5DA7" w:rsidRPr="002520AF" w:rsidTr="00964CC2">
        <w:trPr>
          <w:trHeight w:val="1088"/>
          <w:jc w:val="center"/>
        </w:trPr>
        <w:sdt>
          <w:sdtPr>
            <w:rPr>
              <w:rFonts w:eastAsiaTheme="majorEastAsia" w:cs="Arial"/>
              <w:b/>
              <w:sz w:val="36"/>
              <w:szCs w:val="36"/>
            </w:rPr>
            <w:alias w:val="Titre"/>
            <w:id w:val="15524250"/>
            <w:placeholder>
              <w:docPart w:val="534D5BE3B8304E8297AA3E006C771BA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tc>
              <w:tcPr>
                <w:tcW w:w="5000" w:type="pct"/>
                <w:vAlign w:val="center"/>
              </w:tcPr>
              <w:p w:rsidR="008F5DA7" w:rsidRPr="002520AF" w:rsidRDefault="008F5DA7" w:rsidP="008F5DA7">
                <w:pPr>
                  <w:pStyle w:val="Sansinterligne"/>
                  <w:jc w:val="center"/>
                  <w:rPr>
                    <w:rFonts w:eastAsiaTheme="majorEastAsia" w:cs="Arial"/>
                    <w:b/>
                    <w:sz w:val="36"/>
                    <w:szCs w:val="36"/>
                  </w:rPr>
                </w:pPr>
                <w:r w:rsidRPr="002520AF">
                  <w:rPr>
                    <w:rFonts w:eastAsiaTheme="majorEastAsia" w:cs="Arial"/>
                    <w:b/>
                    <w:sz w:val="36"/>
                    <w:szCs w:val="36"/>
                  </w:rPr>
                  <w:t>La Grande Bibliothèque du Droit</w:t>
                </w:r>
              </w:p>
            </w:tc>
          </w:sdtContent>
        </w:sdt>
      </w:tr>
    </w:tbl>
    <w:p w:rsidR="00AB482A" w:rsidRPr="002520AF" w:rsidRDefault="00AB482A" w:rsidP="000B60D7">
      <w:pPr>
        <w:pStyle w:val="Paragraphedeliste"/>
        <w:ind w:left="1080"/>
        <w:jc w:val="both"/>
        <w:rPr>
          <w:rFonts w:cs="Arial"/>
        </w:rPr>
      </w:pPr>
    </w:p>
    <w:p w:rsidR="00964CC2" w:rsidRPr="002520AF" w:rsidRDefault="005C09AC" w:rsidP="00CC0969">
      <w:pPr>
        <w:pStyle w:val="Paragraphedeliste"/>
        <w:numPr>
          <w:ilvl w:val="0"/>
          <w:numId w:val="16"/>
        </w:numPr>
        <w:jc w:val="both"/>
        <w:rPr>
          <w:rFonts w:cs="Arial"/>
          <w:b/>
        </w:rPr>
      </w:pPr>
      <w:r w:rsidRPr="002520AF">
        <w:rPr>
          <w:rFonts w:cs="Arial"/>
          <w:b/>
        </w:rPr>
        <w:t>La GBD, quels objectifs?</w:t>
      </w:r>
    </w:p>
    <w:p w:rsidR="005C09AC" w:rsidRPr="002520AF" w:rsidRDefault="00964CC2" w:rsidP="000B60D7">
      <w:pPr>
        <w:tabs>
          <w:tab w:val="left" w:pos="2694"/>
        </w:tabs>
        <w:jc w:val="both"/>
        <w:rPr>
          <w:rFonts w:cs="Arial"/>
          <w:shd w:val="clear" w:color="auto" w:fill="FFFFFF"/>
        </w:rPr>
      </w:pPr>
      <w:r w:rsidRPr="002520AF">
        <w:rPr>
          <w:rFonts w:cs="Arial"/>
          <w:shd w:val="clear" w:color="auto" w:fill="FFFFFF"/>
        </w:rPr>
        <w:t>La</w:t>
      </w:r>
      <w:r w:rsidR="005C09AC" w:rsidRPr="002520AF">
        <w:rPr>
          <w:rFonts w:cs="Arial"/>
          <w:shd w:val="clear" w:color="auto" w:fill="FFFFFF"/>
        </w:rPr>
        <w:t xml:space="preserve"> Grande Bibliothèque du Droit a vu le jour le 2 avril 2014. Son but : faciliter l’accès au droit du plus grand nombre en simplifiant le chemin qui mène</w:t>
      </w:r>
      <w:r w:rsidR="004D1E78" w:rsidRPr="002520AF">
        <w:rPr>
          <w:rFonts w:cs="Arial"/>
          <w:shd w:val="clear" w:color="auto" w:fill="FFFFFF"/>
        </w:rPr>
        <w:t>,</w:t>
      </w:r>
      <w:r w:rsidR="005C09AC" w:rsidRPr="002520AF">
        <w:rPr>
          <w:rFonts w:cs="Arial"/>
          <w:shd w:val="clear" w:color="auto" w:fill="FFFFFF"/>
        </w:rPr>
        <w:t xml:space="preserve"> du citoyen au texte juridique. Pour ce faire, l’Ordre </w:t>
      </w:r>
      <w:r w:rsidR="005C09AC" w:rsidRPr="002520AF">
        <w:rPr>
          <w:rFonts w:cs="Arial"/>
          <w:shd w:val="clear" w:color="auto" w:fill="FFFFFF"/>
        </w:rPr>
        <w:lastRenderedPageBreak/>
        <w:t>des Avocats de Paris, sous l’impulsion d’Emmanuel Pierrat</w:t>
      </w:r>
      <w:r w:rsidR="005C09AC" w:rsidRPr="002520AF">
        <w:rPr>
          <w:rStyle w:val="Appelnotedebasdep"/>
          <w:rFonts w:cs="Arial"/>
          <w:shd w:val="clear" w:color="auto" w:fill="FFFFFF"/>
        </w:rPr>
        <w:footnoteReference w:id="1"/>
      </w:r>
      <w:r w:rsidR="00FE37D1">
        <w:rPr>
          <w:rFonts w:cs="Arial"/>
          <w:shd w:val="clear" w:color="auto" w:fill="FFFFFF"/>
        </w:rPr>
        <w:t>,</w:t>
      </w:r>
      <w:r w:rsidR="005C09AC" w:rsidRPr="002520AF">
        <w:rPr>
          <w:rFonts w:cs="Arial"/>
          <w:shd w:val="clear" w:color="auto" w:fill="FFFFFF"/>
        </w:rPr>
        <w:t xml:space="preserve"> a créé cette bibliothèque juridique en ligne.</w:t>
      </w:r>
    </w:p>
    <w:p w:rsidR="00CC0969" w:rsidRDefault="005C09AC" w:rsidP="000B60D7">
      <w:pPr>
        <w:tabs>
          <w:tab w:val="left" w:pos="2694"/>
        </w:tabs>
        <w:jc w:val="both"/>
        <w:rPr>
          <w:rFonts w:cs="Arial"/>
          <w:shd w:val="clear" w:color="auto" w:fill="FFFFFF"/>
        </w:rPr>
      </w:pPr>
      <w:r w:rsidRPr="002520AF">
        <w:rPr>
          <w:rFonts w:cs="Arial"/>
          <w:shd w:val="clear" w:color="auto" w:fill="FFFFFF"/>
        </w:rPr>
        <w:t>La Grande Bibliothèque du Droit traite des matières très diverses allant du droit pénal à celui de l’immobilier.</w:t>
      </w:r>
    </w:p>
    <w:p w:rsidR="00CC0969" w:rsidRDefault="00B8313D" w:rsidP="000B60D7">
      <w:pPr>
        <w:tabs>
          <w:tab w:val="left" w:pos="2694"/>
        </w:tabs>
        <w:jc w:val="both"/>
        <w:rPr>
          <w:rFonts w:cs="Arial"/>
        </w:rPr>
      </w:pPr>
      <w:r w:rsidRPr="002520AF">
        <w:rPr>
          <w:rFonts w:cs="Arial"/>
        </w:rPr>
        <w:t xml:space="preserve">Cet outil innovant et ambitieux </w:t>
      </w:r>
      <w:r w:rsidRPr="002520AF">
        <w:rPr>
          <w:rFonts w:cs="Arial"/>
          <w:shd w:val="clear" w:color="auto" w:fill="FFFFFF"/>
        </w:rPr>
        <w:t>a été conçu  en partenariat avec </w:t>
      </w:r>
      <w:hyperlink r:id="rId11" w:tgtFrame="_blank" w:history="1">
        <w:r w:rsidRPr="002520AF">
          <w:rPr>
            <w:rStyle w:val="Lienhypertexte"/>
            <w:rFonts w:cs="Arial"/>
            <w:color w:val="auto"/>
            <w:shd w:val="clear" w:color="auto" w:fill="FFFFFF"/>
          </w:rPr>
          <w:t>JurisPedia</w:t>
        </w:r>
      </w:hyperlink>
      <w:r w:rsidRPr="002520AF">
        <w:rPr>
          <w:rFonts w:cs="Arial"/>
          <w:shd w:val="clear" w:color="auto" w:fill="FFFFFF"/>
        </w:rPr>
        <w:t xml:space="preserve"> et</w:t>
      </w:r>
      <w:r w:rsidRPr="002520AF">
        <w:rPr>
          <w:rFonts w:cs="Arial"/>
        </w:rPr>
        <w:t xml:space="preserve"> </w:t>
      </w:r>
      <w:hyperlink r:id="rId12" w:tgtFrame="_blank" w:history="1">
        <w:r w:rsidRPr="002520AF">
          <w:rPr>
            <w:rStyle w:val="Lienhypertexte"/>
            <w:rFonts w:cs="Arial"/>
            <w:color w:val="auto"/>
            <w:shd w:val="clear" w:color="auto" w:fill="FFFFFF"/>
          </w:rPr>
          <w:t>Lexbase</w:t>
        </w:r>
      </w:hyperlink>
      <w:r w:rsidRPr="002520AF">
        <w:rPr>
          <w:rFonts w:cs="Arial"/>
          <w:shd w:val="clear" w:color="auto" w:fill="FFFFFF"/>
        </w:rPr>
        <w:t>.</w:t>
      </w:r>
      <w:r w:rsidRPr="002520AF">
        <w:rPr>
          <w:rFonts w:cs="Arial"/>
        </w:rPr>
        <w:t xml:space="preserve"> </w:t>
      </w:r>
    </w:p>
    <w:p w:rsidR="00B8313D" w:rsidRPr="00B8313D" w:rsidRDefault="00B8313D" w:rsidP="000B60D7">
      <w:pPr>
        <w:tabs>
          <w:tab w:val="left" w:pos="2694"/>
        </w:tabs>
        <w:jc w:val="both"/>
        <w:rPr>
          <w:rFonts w:cs="Arial"/>
        </w:rPr>
      </w:pPr>
    </w:p>
    <w:p w:rsidR="00CC0969" w:rsidRPr="002520AF" w:rsidRDefault="005C09AC" w:rsidP="00CC0969">
      <w:pPr>
        <w:pStyle w:val="Paragraphedeliste"/>
        <w:numPr>
          <w:ilvl w:val="0"/>
          <w:numId w:val="12"/>
        </w:numPr>
        <w:tabs>
          <w:tab w:val="left" w:pos="2694"/>
        </w:tabs>
        <w:jc w:val="both"/>
        <w:rPr>
          <w:rFonts w:cs="Arial"/>
          <w:b/>
        </w:rPr>
      </w:pPr>
      <w:r w:rsidRPr="002520AF">
        <w:rPr>
          <w:rFonts w:cs="Arial"/>
          <w:b/>
        </w:rPr>
        <w:t>Bibliothèque juridique en ligne, entièrement gratuite</w:t>
      </w:r>
    </w:p>
    <w:p w:rsidR="005C09AC" w:rsidRPr="002520AF" w:rsidRDefault="005C09AC" w:rsidP="000B60D7">
      <w:pPr>
        <w:tabs>
          <w:tab w:val="left" w:pos="2694"/>
        </w:tabs>
        <w:jc w:val="both"/>
        <w:rPr>
          <w:rFonts w:cs="Arial"/>
        </w:rPr>
      </w:pPr>
      <w:r w:rsidRPr="002520AF">
        <w:rPr>
          <w:rFonts w:cs="Arial"/>
        </w:rPr>
        <w:t>La GBD a vocation à regrouper différentes ressources juridiques (nationales ou internationales) :</w:t>
      </w:r>
    </w:p>
    <w:p w:rsidR="005C09AC" w:rsidRPr="002520AF" w:rsidRDefault="005C09AC" w:rsidP="000B60D7">
      <w:pPr>
        <w:pStyle w:val="Sansinterligne"/>
        <w:numPr>
          <w:ilvl w:val="0"/>
          <w:numId w:val="14"/>
        </w:numPr>
        <w:spacing w:line="276" w:lineRule="auto"/>
        <w:rPr>
          <w:rFonts w:cs="Arial"/>
        </w:rPr>
      </w:pPr>
      <w:r w:rsidRPr="002520AF">
        <w:rPr>
          <w:rFonts w:cs="Arial"/>
        </w:rPr>
        <w:t>articles de doctrine</w:t>
      </w:r>
    </w:p>
    <w:p w:rsidR="005C09AC" w:rsidRPr="002520AF" w:rsidRDefault="005C09AC" w:rsidP="000B60D7">
      <w:pPr>
        <w:pStyle w:val="Sansinterligne"/>
        <w:numPr>
          <w:ilvl w:val="0"/>
          <w:numId w:val="14"/>
        </w:numPr>
        <w:spacing w:line="276" w:lineRule="auto"/>
        <w:rPr>
          <w:rFonts w:cs="Arial"/>
        </w:rPr>
      </w:pPr>
      <w:r w:rsidRPr="002520AF">
        <w:rPr>
          <w:rFonts w:cs="Arial"/>
        </w:rPr>
        <w:t>jurisprudence</w:t>
      </w:r>
    </w:p>
    <w:p w:rsidR="005C09AC" w:rsidRPr="002520AF" w:rsidRDefault="005C09AC" w:rsidP="000B60D7">
      <w:pPr>
        <w:pStyle w:val="Sansinterligne"/>
        <w:numPr>
          <w:ilvl w:val="0"/>
          <w:numId w:val="14"/>
        </w:numPr>
        <w:spacing w:line="276" w:lineRule="auto"/>
        <w:rPr>
          <w:rFonts w:cs="Arial"/>
        </w:rPr>
      </w:pPr>
      <w:r w:rsidRPr="002520AF">
        <w:rPr>
          <w:rFonts w:cs="Arial"/>
        </w:rPr>
        <w:t>travaux universitaires (mémoires, thèses…)</w:t>
      </w:r>
    </w:p>
    <w:p w:rsidR="005C09AC" w:rsidRPr="002520AF" w:rsidRDefault="005C09AC" w:rsidP="000B60D7">
      <w:pPr>
        <w:pStyle w:val="Sansinterligne"/>
        <w:numPr>
          <w:ilvl w:val="0"/>
          <w:numId w:val="14"/>
        </w:numPr>
        <w:spacing w:line="276" w:lineRule="auto"/>
        <w:rPr>
          <w:rFonts w:cs="Arial"/>
        </w:rPr>
      </w:pPr>
      <w:r w:rsidRPr="002520AF">
        <w:rPr>
          <w:rFonts w:cs="Arial"/>
        </w:rPr>
        <w:t>modèles d’actes</w:t>
      </w:r>
    </w:p>
    <w:p w:rsidR="005C09AC" w:rsidRPr="002520AF" w:rsidRDefault="005C09AC" w:rsidP="000B60D7">
      <w:pPr>
        <w:pStyle w:val="Sansinterligne"/>
        <w:numPr>
          <w:ilvl w:val="0"/>
          <w:numId w:val="14"/>
        </w:numPr>
        <w:spacing w:line="276" w:lineRule="auto"/>
        <w:rPr>
          <w:rFonts w:cs="Arial"/>
        </w:rPr>
      </w:pPr>
      <w:r w:rsidRPr="002520AF">
        <w:rPr>
          <w:rFonts w:cs="Arial"/>
        </w:rPr>
        <w:t xml:space="preserve">conventions internationales </w:t>
      </w:r>
    </w:p>
    <w:p w:rsidR="00254420" w:rsidRPr="002520AF" w:rsidRDefault="005C09AC" w:rsidP="003E693F">
      <w:pPr>
        <w:pStyle w:val="Sansinterligne"/>
        <w:numPr>
          <w:ilvl w:val="0"/>
          <w:numId w:val="14"/>
        </w:numPr>
        <w:spacing w:line="276" w:lineRule="auto"/>
        <w:rPr>
          <w:rFonts w:cs="Arial"/>
        </w:rPr>
      </w:pPr>
      <w:r w:rsidRPr="002520AF">
        <w:rPr>
          <w:rFonts w:cs="Arial"/>
        </w:rPr>
        <w:t xml:space="preserve">outils pédagogiques (guides…) </w:t>
      </w:r>
    </w:p>
    <w:p w:rsidR="003E693F" w:rsidRPr="002520AF" w:rsidRDefault="003E693F" w:rsidP="003E693F">
      <w:pPr>
        <w:pStyle w:val="Sansinterligne"/>
        <w:spacing w:line="276" w:lineRule="auto"/>
        <w:ind w:left="720"/>
        <w:rPr>
          <w:rFonts w:cs="Arial"/>
        </w:rPr>
      </w:pPr>
    </w:p>
    <w:p w:rsidR="00AB482A" w:rsidRPr="002520AF" w:rsidRDefault="005C09AC" w:rsidP="000B60D7">
      <w:pPr>
        <w:tabs>
          <w:tab w:val="left" w:pos="2694"/>
        </w:tabs>
        <w:jc w:val="both"/>
        <w:rPr>
          <w:rFonts w:cs="Arial"/>
        </w:rPr>
      </w:pPr>
      <w:r w:rsidRPr="002520AF">
        <w:rPr>
          <w:rFonts w:cs="Arial"/>
        </w:rPr>
        <w:t>L’accès est libre et entièrement gratuit, aucune souscription préalable n’est nécessaire.</w:t>
      </w:r>
    </w:p>
    <w:p w:rsidR="00CC0969" w:rsidRPr="002520AF" w:rsidRDefault="00CC0969" w:rsidP="00CC0969">
      <w:pPr>
        <w:pStyle w:val="Paragraphedeliste"/>
        <w:tabs>
          <w:tab w:val="left" w:pos="2694"/>
        </w:tabs>
        <w:jc w:val="both"/>
        <w:rPr>
          <w:rFonts w:cs="Arial"/>
          <w:b/>
        </w:rPr>
      </w:pPr>
    </w:p>
    <w:p w:rsidR="005C09AC" w:rsidRPr="002520AF" w:rsidRDefault="005C09AC" w:rsidP="000B60D7">
      <w:pPr>
        <w:pStyle w:val="Paragraphedeliste"/>
        <w:numPr>
          <w:ilvl w:val="0"/>
          <w:numId w:val="11"/>
        </w:numPr>
        <w:tabs>
          <w:tab w:val="left" w:pos="2694"/>
        </w:tabs>
        <w:jc w:val="both"/>
        <w:rPr>
          <w:rFonts w:cs="Arial"/>
          <w:b/>
        </w:rPr>
      </w:pPr>
      <w:r w:rsidRPr="002520AF">
        <w:rPr>
          <w:rFonts w:cs="Arial"/>
          <w:b/>
        </w:rPr>
        <w:t>Un système participatif</w:t>
      </w:r>
    </w:p>
    <w:p w:rsidR="005C09AC" w:rsidRPr="002520AF" w:rsidRDefault="005C09AC" w:rsidP="000B60D7">
      <w:pPr>
        <w:tabs>
          <w:tab w:val="left" w:pos="2694"/>
        </w:tabs>
        <w:jc w:val="both"/>
        <w:rPr>
          <w:rFonts w:cs="Arial"/>
          <w:u w:val="single"/>
        </w:rPr>
      </w:pPr>
      <w:r w:rsidRPr="002520AF">
        <w:rPr>
          <w:rFonts w:cs="Arial"/>
          <w:shd w:val="clear" w:color="auto" w:fill="FFFFFF"/>
        </w:rPr>
        <w:t>Chacun a la possibilité de </w:t>
      </w:r>
      <w:hyperlink r:id="rId13" w:tgtFrame="_blank" w:history="1">
        <w:r w:rsidRPr="002520AF">
          <w:rPr>
            <w:rStyle w:val="Lienhypertexte"/>
            <w:rFonts w:cs="Arial"/>
            <w:color w:val="auto"/>
            <w:shd w:val="clear" w:color="auto" w:fill="FFFFFF"/>
          </w:rPr>
          <w:t>contribuer</w:t>
        </w:r>
      </w:hyperlink>
      <w:r w:rsidRPr="002520AF">
        <w:rPr>
          <w:rFonts w:cs="Arial"/>
          <w:shd w:val="clear" w:color="auto" w:fill="FFFFFF"/>
        </w:rPr>
        <w:t xml:space="preserve"> à son enrichissement en proposant des articles, </w:t>
      </w:r>
      <w:r w:rsidRPr="002520AF">
        <w:rPr>
          <w:rFonts w:cs="Arial"/>
          <w:u w:val="single"/>
          <w:shd w:val="clear" w:color="auto" w:fill="FFFFFF"/>
        </w:rPr>
        <w:t>libres de droits.</w:t>
      </w:r>
    </w:p>
    <w:p w:rsidR="005C09AC" w:rsidRPr="002520AF" w:rsidRDefault="005C09AC" w:rsidP="000B60D7">
      <w:pPr>
        <w:tabs>
          <w:tab w:val="left" w:pos="2694"/>
        </w:tabs>
        <w:ind w:left="60"/>
        <w:jc w:val="both"/>
        <w:rPr>
          <w:rFonts w:cs="Arial"/>
        </w:rPr>
      </w:pPr>
      <w:r w:rsidRPr="002520AF">
        <w:rPr>
          <w:rFonts w:cs="Arial"/>
        </w:rPr>
        <w:t>La GBD est alimentée par diverses sources dont les compétences et la notoriété garantissent la qualité de son contenu :</w:t>
      </w:r>
    </w:p>
    <w:p w:rsidR="005C09AC" w:rsidRPr="002520AF" w:rsidRDefault="005C09AC" w:rsidP="000B60D7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cs="Arial"/>
          <w:bCs/>
        </w:rPr>
      </w:pPr>
      <w:r w:rsidRPr="002520AF">
        <w:rPr>
          <w:rFonts w:cs="Arial"/>
          <w:bCs/>
        </w:rPr>
        <w:t>les professionnels du droit (avocats, magistrats…)</w:t>
      </w:r>
    </w:p>
    <w:p w:rsidR="005C09AC" w:rsidRPr="002520AF" w:rsidRDefault="005C09AC" w:rsidP="000B60D7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cs="Arial"/>
          <w:bCs/>
        </w:rPr>
      </w:pPr>
      <w:r w:rsidRPr="002520AF">
        <w:rPr>
          <w:rFonts w:cs="Arial"/>
          <w:bCs/>
        </w:rPr>
        <w:t xml:space="preserve">les  commissions et associations juridiques       </w:t>
      </w:r>
      <w:r w:rsidRPr="002520AF">
        <w:rPr>
          <w:rFonts w:cs="Arial"/>
        </w:rPr>
        <w:t xml:space="preserve">  </w:t>
      </w:r>
    </w:p>
    <w:p w:rsidR="005C09AC" w:rsidRPr="002520AF" w:rsidRDefault="005C09AC" w:rsidP="000B60D7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cs="Arial"/>
          <w:bCs/>
        </w:rPr>
      </w:pPr>
      <w:r w:rsidRPr="002520AF">
        <w:rPr>
          <w:rFonts w:cs="Arial"/>
          <w:bCs/>
        </w:rPr>
        <w:t>les  barreaux et organismes juridiques</w:t>
      </w:r>
    </w:p>
    <w:p w:rsidR="005C09AC" w:rsidRPr="002520AF" w:rsidRDefault="005C09AC" w:rsidP="000B60D7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cs="Arial"/>
          <w:bCs/>
        </w:rPr>
      </w:pPr>
      <w:r w:rsidRPr="002520AF">
        <w:rPr>
          <w:rFonts w:cs="Arial"/>
          <w:bCs/>
        </w:rPr>
        <w:t>les  facultés de droit</w:t>
      </w:r>
    </w:p>
    <w:p w:rsidR="005C09AC" w:rsidRPr="002520AF" w:rsidRDefault="005C09AC" w:rsidP="000B60D7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cs="Arial"/>
          <w:bCs/>
        </w:rPr>
      </w:pPr>
      <w:r w:rsidRPr="002520AF">
        <w:rPr>
          <w:rFonts w:cs="Arial"/>
          <w:bCs/>
        </w:rPr>
        <w:t>les  éditeurs juridiques</w:t>
      </w:r>
    </w:p>
    <w:p w:rsidR="005C09AC" w:rsidRPr="002520AF" w:rsidRDefault="005C09AC" w:rsidP="000B60D7">
      <w:pPr>
        <w:pStyle w:val="Paragraphedeliste"/>
        <w:autoSpaceDE w:val="0"/>
        <w:autoSpaceDN w:val="0"/>
        <w:adjustRightInd w:val="0"/>
        <w:spacing w:after="0"/>
        <w:rPr>
          <w:rFonts w:cs="Arial"/>
          <w:bCs/>
        </w:rPr>
      </w:pPr>
    </w:p>
    <w:p w:rsidR="005C09AC" w:rsidRPr="002520AF" w:rsidRDefault="005C09AC" w:rsidP="000B60D7">
      <w:pPr>
        <w:tabs>
          <w:tab w:val="left" w:pos="2694"/>
        </w:tabs>
        <w:ind w:left="60"/>
        <w:jc w:val="both"/>
        <w:rPr>
          <w:rFonts w:cs="Arial"/>
        </w:rPr>
      </w:pPr>
      <w:r w:rsidRPr="002520AF">
        <w:rPr>
          <w:rFonts w:cs="Arial"/>
        </w:rPr>
        <w:t xml:space="preserve">L’ensemble des documents est signé par leurs auteurs et non susceptible de modification. </w:t>
      </w:r>
    </w:p>
    <w:p w:rsidR="005C09AC" w:rsidRPr="002520AF" w:rsidRDefault="005C09AC" w:rsidP="000B60D7">
      <w:pPr>
        <w:tabs>
          <w:tab w:val="left" w:pos="2694"/>
        </w:tabs>
        <w:ind w:left="60"/>
        <w:jc w:val="both"/>
        <w:rPr>
          <w:rFonts w:cs="Arial"/>
        </w:rPr>
      </w:pPr>
      <w:r w:rsidRPr="002520AF">
        <w:rPr>
          <w:rFonts w:cs="Arial"/>
        </w:rPr>
        <w:t>Les articles envoyés sont traités par un comité scientifique et mis en ligne dans les meilleurs délais.</w:t>
      </w:r>
    </w:p>
    <w:p w:rsidR="00823368" w:rsidRPr="002520AF" w:rsidRDefault="005C09AC" w:rsidP="002C31B6">
      <w:pPr>
        <w:tabs>
          <w:tab w:val="left" w:pos="2694"/>
        </w:tabs>
        <w:ind w:left="60"/>
        <w:jc w:val="both"/>
        <w:rPr>
          <w:rFonts w:cs="Arial"/>
        </w:rPr>
      </w:pPr>
      <w:r w:rsidRPr="002520AF">
        <w:rPr>
          <w:rFonts w:cs="Arial"/>
        </w:rPr>
        <w:t>Toutes publications à caractère publicit</w:t>
      </w:r>
      <w:r w:rsidR="00AF01FE" w:rsidRPr="002520AF">
        <w:rPr>
          <w:rFonts w:cs="Arial"/>
        </w:rPr>
        <w:t>aire ou politique sont exclues.</w:t>
      </w:r>
    </w:p>
    <w:p w:rsidR="00BE4EAE" w:rsidRPr="002520AF" w:rsidRDefault="00BE4EAE" w:rsidP="00BE4EAE">
      <w:pPr>
        <w:pStyle w:val="Paragraphedeliste"/>
        <w:shd w:val="clear" w:color="auto" w:fill="FFFFFF"/>
        <w:spacing w:before="100" w:beforeAutospacing="1" w:after="120"/>
        <w:ind w:left="1287"/>
        <w:rPr>
          <w:rFonts w:eastAsia="Times New Roman" w:cs="Arial"/>
          <w:lang w:eastAsia="fr-FR"/>
        </w:rPr>
      </w:pPr>
    </w:p>
    <w:p w:rsidR="00BE4EAE" w:rsidRPr="002520AF" w:rsidRDefault="00AF01FE" w:rsidP="00CC0969">
      <w:pPr>
        <w:pStyle w:val="Paragraphedeliste"/>
        <w:numPr>
          <w:ilvl w:val="0"/>
          <w:numId w:val="5"/>
        </w:numPr>
        <w:shd w:val="clear" w:color="auto" w:fill="FFFFFF"/>
        <w:spacing w:before="100" w:beforeAutospacing="1" w:after="120"/>
        <w:jc w:val="both"/>
        <w:rPr>
          <w:rFonts w:eastAsia="Times New Roman" w:cs="Arial"/>
          <w:b/>
          <w:bCs/>
          <w:u w:val="single"/>
          <w:lang w:eastAsia="fr-FR"/>
        </w:rPr>
      </w:pPr>
      <w:r w:rsidRPr="002520AF">
        <w:rPr>
          <w:rFonts w:eastAsiaTheme="majorEastAsia" w:cs="Arial"/>
          <w:b/>
        </w:rPr>
        <w:t>Le</w:t>
      </w:r>
      <w:r w:rsidR="000B60D7" w:rsidRPr="002520AF">
        <w:rPr>
          <w:rFonts w:eastAsiaTheme="majorEastAsia" w:cs="Arial"/>
          <w:b/>
        </w:rPr>
        <w:t>s Membres du</w:t>
      </w:r>
      <w:r w:rsidR="00A3163B" w:rsidRPr="002520AF">
        <w:rPr>
          <w:rFonts w:eastAsiaTheme="majorEastAsia" w:cs="Arial"/>
          <w:b/>
        </w:rPr>
        <w:t xml:space="preserve"> C</w:t>
      </w:r>
      <w:r w:rsidRPr="002520AF">
        <w:rPr>
          <w:rFonts w:eastAsiaTheme="majorEastAsia" w:cs="Arial"/>
          <w:b/>
        </w:rPr>
        <w:t xml:space="preserve">omité scientifique </w:t>
      </w:r>
    </w:p>
    <w:p w:rsidR="00AF01FE" w:rsidRPr="002520AF" w:rsidRDefault="00AF01FE" w:rsidP="00236DC4">
      <w:pPr>
        <w:pStyle w:val="Sansinterligne"/>
        <w:numPr>
          <w:ilvl w:val="0"/>
          <w:numId w:val="23"/>
        </w:numPr>
        <w:spacing w:line="276" w:lineRule="auto"/>
        <w:jc w:val="both"/>
        <w:rPr>
          <w:rFonts w:cs="Arial"/>
        </w:rPr>
      </w:pPr>
      <w:r w:rsidRPr="002520AF">
        <w:rPr>
          <w:rFonts w:cs="Arial"/>
        </w:rPr>
        <w:lastRenderedPageBreak/>
        <w:t>M. le Doyen Didier Guével (Université Paris XIII)</w:t>
      </w:r>
    </w:p>
    <w:p w:rsidR="00AF01FE" w:rsidRPr="002520AF" w:rsidRDefault="00AF01FE" w:rsidP="00236DC4">
      <w:pPr>
        <w:pStyle w:val="Sansinterligne"/>
        <w:numPr>
          <w:ilvl w:val="0"/>
          <w:numId w:val="23"/>
        </w:numPr>
        <w:spacing w:line="276" w:lineRule="auto"/>
        <w:jc w:val="both"/>
        <w:rPr>
          <w:rFonts w:cs="Arial"/>
        </w:rPr>
      </w:pPr>
      <w:r w:rsidRPr="002520AF">
        <w:rPr>
          <w:rFonts w:cs="Arial"/>
          <w:lang w:val="en-US"/>
        </w:rPr>
        <w:t>M. Hughes Jehan Vibert (</w:t>
      </w:r>
      <w:r w:rsidRPr="002520AF">
        <w:rPr>
          <w:rFonts w:cs="Arial"/>
          <w:i/>
          <w:iCs/>
          <w:lang w:val="en-US"/>
        </w:rPr>
        <w:t>Jurispedia</w:t>
      </w:r>
      <w:r w:rsidRPr="002520AF">
        <w:rPr>
          <w:rFonts w:cs="Arial"/>
          <w:lang w:val="en-US"/>
        </w:rPr>
        <w:t xml:space="preserve">. </w:t>
      </w:r>
      <w:r w:rsidRPr="002520AF">
        <w:rPr>
          <w:rFonts w:cs="Arial"/>
        </w:rPr>
        <w:t>Chef de projet TIC, Ministère de la Justice.)</w:t>
      </w:r>
    </w:p>
    <w:p w:rsidR="00AF01FE" w:rsidRPr="002520AF" w:rsidRDefault="00AF01FE" w:rsidP="00236DC4">
      <w:pPr>
        <w:pStyle w:val="Sansinterligne"/>
        <w:numPr>
          <w:ilvl w:val="0"/>
          <w:numId w:val="23"/>
        </w:numPr>
        <w:spacing w:line="276" w:lineRule="auto"/>
        <w:jc w:val="both"/>
        <w:rPr>
          <w:rFonts w:cs="Arial"/>
        </w:rPr>
      </w:pPr>
      <w:r w:rsidRPr="002520AF">
        <w:rPr>
          <w:rFonts w:cs="Arial"/>
        </w:rPr>
        <w:t>Le professeur Philippe Dupichot (Université Paris I et Association Henri Capitant)</w:t>
      </w:r>
    </w:p>
    <w:p w:rsidR="00AF01FE" w:rsidRPr="002520AF" w:rsidRDefault="00AF01FE" w:rsidP="00236DC4">
      <w:pPr>
        <w:pStyle w:val="Sansinterligne"/>
        <w:numPr>
          <w:ilvl w:val="0"/>
          <w:numId w:val="23"/>
        </w:numPr>
        <w:spacing w:line="276" w:lineRule="auto"/>
        <w:jc w:val="both"/>
        <w:rPr>
          <w:rFonts w:cs="Arial"/>
        </w:rPr>
      </w:pPr>
      <w:r w:rsidRPr="002520AF">
        <w:rPr>
          <w:rFonts w:cs="Arial"/>
        </w:rPr>
        <w:t>M. le Bâtonnier Jean Jacques Forrer (Président de la DBF)</w:t>
      </w:r>
    </w:p>
    <w:p w:rsidR="00AF01FE" w:rsidRPr="002520AF" w:rsidRDefault="00051F5E" w:rsidP="00236DC4">
      <w:pPr>
        <w:pStyle w:val="Sansinterligne"/>
        <w:numPr>
          <w:ilvl w:val="0"/>
          <w:numId w:val="23"/>
        </w:numPr>
        <w:spacing w:line="276" w:lineRule="auto"/>
        <w:jc w:val="both"/>
        <w:rPr>
          <w:rFonts w:cs="Arial"/>
        </w:rPr>
      </w:pPr>
      <w:r w:rsidRPr="002520AF">
        <w:rPr>
          <w:rFonts w:cs="Arial"/>
        </w:rPr>
        <w:t>Me Jean-François Péricaud (</w:t>
      </w:r>
      <w:r w:rsidR="00AF01FE" w:rsidRPr="002520AF">
        <w:rPr>
          <w:rFonts w:cs="Arial"/>
        </w:rPr>
        <w:t>avocat au barreau de Paris, AMCO</w:t>
      </w:r>
      <w:r w:rsidRPr="002520AF">
        <w:rPr>
          <w:rFonts w:cs="Arial"/>
        </w:rPr>
        <w:t>)</w:t>
      </w:r>
    </w:p>
    <w:p w:rsidR="00AF01FE" w:rsidRPr="00FE37D1" w:rsidRDefault="00FE37D1" w:rsidP="00FE37D1">
      <w:pPr>
        <w:pStyle w:val="Sansinterligne"/>
        <w:numPr>
          <w:ilvl w:val="0"/>
          <w:numId w:val="2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Me Etienne Lesage (Membre du CNB, Commission des</w:t>
      </w:r>
      <w:r w:rsidR="00AF01FE" w:rsidRPr="00FE37D1">
        <w:rPr>
          <w:rFonts w:cs="Arial"/>
        </w:rPr>
        <w:t xml:space="preserve"> Affaires Europ</w:t>
      </w:r>
      <w:r>
        <w:rPr>
          <w:rFonts w:cs="Arial"/>
        </w:rPr>
        <w:t>éennes et Internationales</w:t>
      </w:r>
      <w:r w:rsidR="00AF01FE" w:rsidRPr="00FE37D1">
        <w:rPr>
          <w:rFonts w:cs="Arial"/>
        </w:rPr>
        <w:t>)</w:t>
      </w:r>
    </w:p>
    <w:p w:rsidR="00AF01FE" w:rsidRPr="002520AF" w:rsidRDefault="00AF01FE" w:rsidP="00236DC4">
      <w:pPr>
        <w:pStyle w:val="Sansinterligne"/>
        <w:numPr>
          <w:ilvl w:val="0"/>
          <w:numId w:val="23"/>
        </w:numPr>
        <w:spacing w:line="276" w:lineRule="auto"/>
        <w:jc w:val="both"/>
        <w:rPr>
          <w:rFonts w:cs="Arial"/>
        </w:rPr>
      </w:pPr>
      <w:r w:rsidRPr="002520AF">
        <w:rPr>
          <w:rFonts w:cs="Arial"/>
        </w:rPr>
        <w:t>Me Emmanuel Pierrat (avocat, responsable de la GBD, AMCO, Membre du CNB)</w:t>
      </w:r>
    </w:p>
    <w:p w:rsidR="00DE4C44" w:rsidRPr="002520AF" w:rsidRDefault="00AF01FE" w:rsidP="00236DC4">
      <w:pPr>
        <w:pStyle w:val="Sansinterligne"/>
        <w:numPr>
          <w:ilvl w:val="0"/>
          <w:numId w:val="23"/>
        </w:numPr>
        <w:spacing w:line="276" w:lineRule="auto"/>
        <w:jc w:val="both"/>
        <w:rPr>
          <w:rFonts w:cs="Arial"/>
        </w:rPr>
      </w:pPr>
      <w:r w:rsidRPr="002520AF">
        <w:rPr>
          <w:rFonts w:cs="Arial"/>
        </w:rPr>
        <w:t>Mme Frédérique Lubeigt (Directrice du Centre de documentation de l’Ordre des avocats de Paris)</w:t>
      </w:r>
    </w:p>
    <w:p w:rsidR="00964CC2" w:rsidRDefault="00964CC2" w:rsidP="00964CC2">
      <w:pPr>
        <w:pStyle w:val="Sansinterligne"/>
        <w:spacing w:line="276" w:lineRule="auto"/>
        <w:jc w:val="both"/>
        <w:rPr>
          <w:rFonts w:cs="Arial"/>
        </w:rPr>
      </w:pPr>
    </w:p>
    <w:p w:rsidR="002C31B6" w:rsidRPr="002520AF" w:rsidRDefault="002C31B6" w:rsidP="00964CC2">
      <w:pPr>
        <w:pStyle w:val="Sansinterligne"/>
        <w:spacing w:line="276" w:lineRule="auto"/>
        <w:jc w:val="both"/>
        <w:rPr>
          <w:rFonts w:cs="Arial"/>
        </w:rPr>
      </w:pPr>
    </w:p>
    <w:p w:rsidR="00D0247B" w:rsidRPr="002520AF" w:rsidRDefault="00D0247B" w:rsidP="00D0247B">
      <w:pPr>
        <w:pStyle w:val="Sansinterligne"/>
        <w:jc w:val="both"/>
        <w:rPr>
          <w:rFonts w:cs="Arial"/>
        </w:rPr>
      </w:pPr>
    </w:p>
    <w:p w:rsidR="00964CC2" w:rsidRPr="002520AF" w:rsidRDefault="002C080B" w:rsidP="00964CC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240" w:afterAutospacing="0"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2520AF">
        <w:rPr>
          <w:rFonts w:asciiTheme="minorHAnsi" w:hAnsiTheme="minorHAnsi" w:cs="Arial"/>
          <w:b/>
          <w:bCs/>
          <w:sz w:val="22"/>
          <w:szCs w:val="22"/>
        </w:rPr>
        <w:t>Contact</w:t>
      </w:r>
    </w:p>
    <w:p w:rsidR="002C080B" w:rsidRPr="002520AF" w:rsidRDefault="00AB482A" w:rsidP="00964CC2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240" w:afterAutospacing="0"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2520AF">
        <w:rPr>
          <w:rFonts w:asciiTheme="minorHAnsi" w:hAnsiTheme="minorHAnsi" w:cs="Arial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3861371" wp14:editId="09A4A16F">
            <wp:simplePos x="0" y="0"/>
            <wp:positionH relativeFrom="column">
              <wp:posOffset>2049289</wp:posOffset>
            </wp:positionH>
            <wp:positionV relativeFrom="paragraph">
              <wp:posOffset>238437</wp:posOffset>
            </wp:positionV>
            <wp:extent cx="344805" cy="292100"/>
            <wp:effectExtent l="0" t="0" r="0" b="0"/>
            <wp:wrapNone/>
            <wp:docPr id="3" name="Image 3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4CC2" w:rsidRPr="002520AF">
        <w:rPr>
          <w:rFonts w:asciiTheme="minorHAnsi" w:hAnsiTheme="minorHAnsi" w:cs="Arial"/>
          <w:b/>
          <w:bCs/>
          <w:sz w:val="22"/>
          <w:szCs w:val="22"/>
        </w:rPr>
        <w:t>Envois de publications :</w:t>
      </w:r>
      <w:r w:rsidR="00964CC2" w:rsidRPr="002520AF">
        <w:rPr>
          <w:rFonts w:asciiTheme="minorHAnsi" w:hAnsiTheme="minorHAnsi" w:cs="Arial"/>
          <w:b/>
          <w:sz w:val="22"/>
          <w:szCs w:val="22"/>
        </w:rPr>
        <w:t xml:space="preserve"> </w:t>
      </w:r>
      <w:hyperlink r:id="rId15" w:history="1">
        <w:r w:rsidR="00964CC2" w:rsidRPr="002520AF">
          <w:rPr>
            <w:rStyle w:val="Lienhypertexte"/>
            <w:rFonts w:asciiTheme="minorHAnsi" w:hAnsiTheme="minorHAnsi" w:cs="Arial"/>
            <w:b/>
            <w:sz w:val="22"/>
            <w:szCs w:val="22"/>
          </w:rPr>
          <w:t>lagbd</w:t>
        </w:r>
        <w:r w:rsidR="00964CC2" w:rsidRPr="002520AF">
          <w:rPr>
            <w:rStyle w:val="Lienhypertexte"/>
            <w:rFonts w:asciiTheme="minorHAnsi" w:hAnsiTheme="minorHAnsi" w:cs="Arial"/>
            <w:b/>
            <w:bCs/>
            <w:sz w:val="22"/>
            <w:szCs w:val="22"/>
          </w:rPr>
          <w:t>@avocatparis.org</w:t>
        </w:r>
      </w:hyperlink>
      <w:r w:rsidR="00964CC2" w:rsidRPr="002520AF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5C09AC" w:rsidRPr="002520AF" w:rsidRDefault="00E62525" w:rsidP="001D294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240" w:afterAutospacing="0"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2520AF">
        <w:rPr>
          <w:rFonts w:asciiTheme="minorHAnsi" w:hAnsiTheme="minorHAnsi" w:cs="Arial"/>
          <w:b/>
          <w:sz w:val="22"/>
          <w:szCs w:val="22"/>
        </w:rPr>
        <w:t xml:space="preserve"> </w:t>
      </w:r>
      <w:r w:rsidR="00AB482A" w:rsidRPr="002520AF">
        <w:rPr>
          <w:rFonts w:asciiTheme="minorHAnsi" w:hAnsiTheme="minorHAnsi" w:cs="Arial"/>
          <w:b/>
          <w:sz w:val="22"/>
          <w:szCs w:val="22"/>
        </w:rPr>
        <w:t>Twitter : @LaGBD1</w:t>
      </w:r>
    </w:p>
    <w:sectPr w:rsidR="005C09AC" w:rsidRPr="002520AF" w:rsidSect="0065098E">
      <w:pgSz w:w="11906" w:h="16838"/>
      <w:pgMar w:top="1417" w:right="1417" w:bottom="1417" w:left="1417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E99" w:rsidRDefault="00696E99" w:rsidP="005C09AC">
      <w:pPr>
        <w:spacing w:after="0" w:line="240" w:lineRule="auto"/>
      </w:pPr>
      <w:r>
        <w:separator/>
      </w:r>
    </w:p>
  </w:endnote>
  <w:endnote w:type="continuationSeparator" w:id="0">
    <w:p w:rsidR="00696E99" w:rsidRDefault="00696E99" w:rsidP="005C0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E99" w:rsidRDefault="00696E99" w:rsidP="005C09AC">
      <w:pPr>
        <w:spacing w:after="0" w:line="240" w:lineRule="auto"/>
      </w:pPr>
      <w:r>
        <w:separator/>
      </w:r>
    </w:p>
  </w:footnote>
  <w:footnote w:type="continuationSeparator" w:id="0">
    <w:p w:rsidR="00696E99" w:rsidRDefault="00696E99" w:rsidP="005C09AC">
      <w:pPr>
        <w:spacing w:after="0" w:line="240" w:lineRule="auto"/>
      </w:pPr>
      <w:r>
        <w:continuationSeparator/>
      </w:r>
    </w:p>
  </w:footnote>
  <w:footnote w:id="1">
    <w:p w:rsidR="00696E99" w:rsidRPr="00390A7C" w:rsidRDefault="00696E99" w:rsidP="005C09AC">
      <w:pPr>
        <w:rPr>
          <w:rFonts w:asciiTheme="majorHAnsi" w:hAnsiTheme="majorHAnsi"/>
          <w:b/>
          <w:sz w:val="18"/>
          <w:szCs w:val="18"/>
        </w:rPr>
      </w:pPr>
      <w:r w:rsidRPr="00390A7C">
        <w:rPr>
          <w:rStyle w:val="Appelnotedebasdep"/>
          <w:rFonts w:asciiTheme="majorHAnsi" w:hAnsiTheme="majorHAnsi"/>
          <w:sz w:val="18"/>
          <w:szCs w:val="18"/>
        </w:rPr>
        <w:footnoteRef/>
      </w:r>
      <w:r w:rsidRPr="00390A7C">
        <w:rPr>
          <w:rFonts w:asciiTheme="majorHAnsi" w:hAnsiTheme="majorHAnsi"/>
          <w:sz w:val="18"/>
          <w:szCs w:val="18"/>
        </w:rPr>
        <w:t xml:space="preserve"> Emmanuel PIERRAT est avocat au barreau de Paris depuis 1993, Ancien Membre du Conseil de l’Ordre, Membre du Conseil National des Barreaux et Conservateur du Musée du Barreau de Paris. </w:t>
      </w:r>
    </w:p>
    <w:p w:rsidR="00696E99" w:rsidRDefault="00696E99" w:rsidP="005C09AC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Description : Afficher l'image d'origine" style="width:383.75pt;height:383.75pt;visibility:visible;mso-wrap-style:square" o:bullet="t">
        <v:imagedata r:id="rId1" o:title="Afficher l'image d'origine"/>
      </v:shape>
    </w:pict>
  </w:numPicBullet>
  <w:abstractNum w:abstractNumId="0">
    <w:nsid w:val="018E5878"/>
    <w:multiLevelType w:val="multilevel"/>
    <w:tmpl w:val="52B0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743B39"/>
    <w:multiLevelType w:val="hybridMultilevel"/>
    <w:tmpl w:val="5EA43E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A7365"/>
    <w:multiLevelType w:val="hybridMultilevel"/>
    <w:tmpl w:val="C7AA39F0"/>
    <w:lvl w:ilvl="0" w:tplc="1EE47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E42C97"/>
    <w:multiLevelType w:val="hybridMultilevel"/>
    <w:tmpl w:val="CD8869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451DC"/>
    <w:multiLevelType w:val="multilevel"/>
    <w:tmpl w:val="6734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715044"/>
    <w:multiLevelType w:val="hybridMultilevel"/>
    <w:tmpl w:val="1572328E"/>
    <w:lvl w:ilvl="0" w:tplc="040C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5703DF3"/>
    <w:multiLevelType w:val="hybridMultilevel"/>
    <w:tmpl w:val="909AD2E2"/>
    <w:lvl w:ilvl="0" w:tplc="6FEAF804">
      <w:start w:val="672"/>
      <w:numFmt w:val="bullet"/>
      <w:lvlText w:val=""/>
      <w:lvlJc w:val="left"/>
      <w:pPr>
        <w:ind w:left="927" w:hanging="360"/>
      </w:pPr>
      <w:rPr>
        <w:rFonts w:ascii="Wingdings" w:eastAsia="Times New Roman" w:hAnsi="Wingdings" w:cs="Arial" w:hint="default"/>
        <w:color w:val="222222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3C1A0361"/>
    <w:multiLevelType w:val="hybridMultilevel"/>
    <w:tmpl w:val="9BCC4F82"/>
    <w:lvl w:ilvl="0" w:tplc="30F46BDE">
      <w:start w:val="1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EF77CF"/>
    <w:multiLevelType w:val="hybridMultilevel"/>
    <w:tmpl w:val="4A3A25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EF516E"/>
    <w:multiLevelType w:val="multilevel"/>
    <w:tmpl w:val="7060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B5541A"/>
    <w:multiLevelType w:val="hybridMultilevel"/>
    <w:tmpl w:val="9CCA98A4"/>
    <w:lvl w:ilvl="0" w:tplc="E548946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C060E5"/>
    <w:multiLevelType w:val="hybridMultilevel"/>
    <w:tmpl w:val="34BC611E"/>
    <w:lvl w:ilvl="0" w:tplc="41E43D6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4A1FFB"/>
    <w:multiLevelType w:val="hybridMultilevel"/>
    <w:tmpl w:val="414EDC5A"/>
    <w:lvl w:ilvl="0" w:tplc="D870F52A">
      <w:numFmt w:val="bullet"/>
      <w:lvlText w:val="-"/>
      <w:lvlJc w:val="left"/>
      <w:pPr>
        <w:ind w:left="927" w:hanging="360"/>
      </w:pPr>
      <w:rPr>
        <w:rFonts w:ascii="Cambria" w:eastAsia="Times New Roman" w:hAnsi="Cambria" w:cs="Helvetica" w:hint="default"/>
        <w:color w:val="222222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53290017"/>
    <w:multiLevelType w:val="hybridMultilevel"/>
    <w:tmpl w:val="05F623EC"/>
    <w:lvl w:ilvl="0" w:tplc="D870F52A">
      <w:numFmt w:val="bullet"/>
      <w:lvlText w:val="-"/>
      <w:lvlJc w:val="left"/>
      <w:pPr>
        <w:ind w:left="1287" w:hanging="360"/>
      </w:pPr>
      <w:rPr>
        <w:rFonts w:ascii="Cambria" w:eastAsia="Times New Roman" w:hAnsi="Cambri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3570A13"/>
    <w:multiLevelType w:val="multilevel"/>
    <w:tmpl w:val="526E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EF0E91"/>
    <w:multiLevelType w:val="hybridMultilevel"/>
    <w:tmpl w:val="1BFCD6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6E3F78"/>
    <w:multiLevelType w:val="multilevel"/>
    <w:tmpl w:val="4634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0C0404"/>
    <w:multiLevelType w:val="multilevel"/>
    <w:tmpl w:val="7F428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BF661F"/>
    <w:multiLevelType w:val="hybridMultilevel"/>
    <w:tmpl w:val="E8CC97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F04A3E"/>
    <w:multiLevelType w:val="hybridMultilevel"/>
    <w:tmpl w:val="D58258DC"/>
    <w:lvl w:ilvl="0" w:tplc="2918E7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F44F65"/>
    <w:multiLevelType w:val="hybridMultilevel"/>
    <w:tmpl w:val="6262B2D0"/>
    <w:lvl w:ilvl="0" w:tplc="18442922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B6224DE"/>
    <w:multiLevelType w:val="hybridMultilevel"/>
    <w:tmpl w:val="0D7C9318"/>
    <w:lvl w:ilvl="0" w:tplc="040C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FAC2EDE"/>
    <w:multiLevelType w:val="multilevel"/>
    <w:tmpl w:val="54A47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19"/>
  </w:num>
  <w:num w:numId="4">
    <w:abstractNumId w:val="1"/>
  </w:num>
  <w:num w:numId="5">
    <w:abstractNumId w:val="6"/>
  </w:num>
  <w:num w:numId="6">
    <w:abstractNumId w:val="2"/>
  </w:num>
  <w:num w:numId="7">
    <w:abstractNumId w:val="14"/>
  </w:num>
  <w:num w:numId="8">
    <w:abstractNumId w:val="17"/>
  </w:num>
  <w:num w:numId="9">
    <w:abstractNumId w:val="22"/>
  </w:num>
  <w:num w:numId="10">
    <w:abstractNumId w:val="3"/>
  </w:num>
  <w:num w:numId="11">
    <w:abstractNumId w:val="10"/>
  </w:num>
  <w:num w:numId="12">
    <w:abstractNumId w:val="11"/>
  </w:num>
  <w:num w:numId="13">
    <w:abstractNumId w:val="7"/>
  </w:num>
  <w:num w:numId="14">
    <w:abstractNumId w:val="8"/>
  </w:num>
  <w:num w:numId="15">
    <w:abstractNumId w:val="18"/>
  </w:num>
  <w:num w:numId="16">
    <w:abstractNumId w:val="20"/>
  </w:num>
  <w:num w:numId="17">
    <w:abstractNumId w:val="13"/>
  </w:num>
  <w:num w:numId="18">
    <w:abstractNumId w:val="16"/>
  </w:num>
  <w:num w:numId="19">
    <w:abstractNumId w:val="5"/>
  </w:num>
  <w:num w:numId="20">
    <w:abstractNumId w:val="9"/>
  </w:num>
  <w:num w:numId="21">
    <w:abstractNumId w:val="21"/>
  </w:num>
  <w:num w:numId="22">
    <w:abstractNumId w:val="4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DA7"/>
    <w:rsid w:val="00051F5E"/>
    <w:rsid w:val="000B18FE"/>
    <w:rsid w:val="000B60D7"/>
    <w:rsid w:val="000D12B2"/>
    <w:rsid w:val="00107139"/>
    <w:rsid w:val="00141FCC"/>
    <w:rsid w:val="0016146D"/>
    <w:rsid w:val="001670E5"/>
    <w:rsid w:val="00170105"/>
    <w:rsid w:val="001A1715"/>
    <w:rsid w:val="001D2940"/>
    <w:rsid w:val="001E1FD3"/>
    <w:rsid w:val="00236DC4"/>
    <w:rsid w:val="002520AF"/>
    <w:rsid w:val="00254420"/>
    <w:rsid w:val="002C080B"/>
    <w:rsid w:val="002C31B6"/>
    <w:rsid w:val="00305DBD"/>
    <w:rsid w:val="003117CE"/>
    <w:rsid w:val="00336B9C"/>
    <w:rsid w:val="0035005D"/>
    <w:rsid w:val="00383850"/>
    <w:rsid w:val="00387926"/>
    <w:rsid w:val="00390A7C"/>
    <w:rsid w:val="003E693F"/>
    <w:rsid w:val="00401371"/>
    <w:rsid w:val="0048593C"/>
    <w:rsid w:val="00491B99"/>
    <w:rsid w:val="004C6844"/>
    <w:rsid w:val="004D1E78"/>
    <w:rsid w:val="004D450B"/>
    <w:rsid w:val="004E0F65"/>
    <w:rsid w:val="0050435C"/>
    <w:rsid w:val="00516E30"/>
    <w:rsid w:val="005552D2"/>
    <w:rsid w:val="00572DF1"/>
    <w:rsid w:val="005A5914"/>
    <w:rsid w:val="005C09AC"/>
    <w:rsid w:val="0065098E"/>
    <w:rsid w:val="00696E99"/>
    <w:rsid w:val="007338CA"/>
    <w:rsid w:val="00772828"/>
    <w:rsid w:val="007B5AE2"/>
    <w:rsid w:val="00823368"/>
    <w:rsid w:val="008F388C"/>
    <w:rsid w:val="008F5DA7"/>
    <w:rsid w:val="00936677"/>
    <w:rsid w:val="00964CC2"/>
    <w:rsid w:val="009D4B24"/>
    <w:rsid w:val="009D4E34"/>
    <w:rsid w:val="009E625E"/>
    <w:rsid w:val="009E6A07"/>
    <w:rsid w:val="00A3163B"/>
    <w:rsid w:val="00AB482A"/>
    <w:rsid w:val="00AF01FE"/>
    <w:rsid w:val="00B67272"/>
    <w:rsid w:val="00B8313D"/>
    <w:rsid w:val="00BA618F"/>
    <w:rsid w:val="00BC365D"/>
    <w:rsid w:val="00BE4EAE"/>
    <w:rsid w:val="00C85991"/>
    <w:rsid w:val="00CB5525"/>
    <w:rsid w:val="00CC0969"/>
    <w:rsid w:val="00CC68EC"/>
    <w:rsid w:val="00D0247B"/>
    <w:rsid w:val="00D25CC5"/>
    <w:rsid w:val="00D43297"/>
    <w:rsid w:val="00DB55B3"/>
    <w:rsid w:val="00DE4C44"/>
    <w:rsid w:val="00E10134"/>
    <w:rsid w:val="00E37961"/>
    <w:rsid w:val="00E52775"/>
    <w:rsid w:val="00E62525"/>
    <w:rsid w:val="00FA41E3"/>
    <w:rsid w:val="00FE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1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8F5DA7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F5DA7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5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5DA7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8F5DA7"/>
    <w:rPr>
      <w:b/>
      <w:bCs/>
    </w:rPr>
  </w:style>
  <w:style w:type="paragraph" w:styleId="NormalWeb">
    <w:name w:val="Normal (Web)"/>
    <w:basedOn w:val="Normal"/>
    <w:uiPriority w:val="99"/>
    <w:unhideWhenUsed/>
    <w:rsid w:val="000D1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670E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0435C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C09A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C09A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C09AC"/>
    <w:rPr>
      <w:vertAlign w:val="superscript"/>
    </w:rPr>
  </w:style>
  <w:style w:type="character" w:customStyle="1" w:styleId="apple-converted-space">
    <w:name w:val="apple-converted-space"/>
    <w:basedOn w:val="Policepardfaut"/>
    <w:rsid w:val="00491B99"/>
  </w:style>
  <w:style w:type="table" w:styleId="Grilledutableau">
    <w:name w:val="Table Grid"/>
    <w:basedOn w:val="TableauNormal"/>
    <w:uiPriority w:val="59"/>
    <w:rsid w:val="0023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x-cf727a394a-msonormal">
    <w:name w:val="ox-cf727a394a-msonormal"/>
    <w:basedOn w:val="Normal"/>
    <w:rsid w:val="00823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1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8F5DA7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F5DA7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5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5DA7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8F5DA7"/>
    <w:rPr>
      <w:b/>
      <w:bCs/>
    </w:rPr>
  </w:style>
  <w:style w:type="paragraph" w:styleId="NormalWeb">
    <w:name w:val="Normal (Web)"/>
    <w:basedOn w:val="Normal"/>
    <w:uiPriority w:val="99"/>
    <w:unhideWhenUsed/>
    <w:rsid w:val="000D1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670E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0435C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C09A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C09A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C09AC"/>
    <w:rPr>
      <w:vertAlign w:val="superscript"/>
    </w:rPr>
  </w:style>
  <w:style w:type="character" w:customStyle="1" w:styleId="apple-converted-space">
    <w:name w:val="apple-converted-space"/>
    <w:basedOn w:val="Policepardfaut"/>
    <w:rsid w:val="00491B99"/>
  </w:style>
  <w:style w:type="table" w:styleId="Grilledutableau">
    <w:name w:val="Table Grid"/>
    <w:basedOn w:val="TableauNormal"/>
    <w:uiPriority w:val="59"/>
    <w:rsid w:val="0023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x-cf727a394a-msonormal">
    <w:name w:val="ox-cf727a394a-msonormal"/>
    <w:basedOn w:val="Normal"/>
    <w:rsid w:val="00823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33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31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7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179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4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vocatparis.org/proposition-d-article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lexbase.fr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fr.jurispedia.org/index.php/Accueil" TargetMode="External"/><Relationship Id="rId5" Type="http://schemas.microsoft.com/office/2007/relationships/stylesWithEffects" Target="stylesWithEffects.xml"/><Relationship Id="rId15" Type="http://schemas.openxmlformats.org/officeDocument/2006/relationships/hyperlink" Target="mailto:lagbd@avocatparis.org" TargetMode="Externa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4D5BE3B8304E8297AA3E006C771B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F0F45F-25A9-4106-85D1-3F622C3C1EFA}"/>
      </w:docPartPr>
      <w:docPartBody>
        <w:p w:rsidR="00CA4382" w:rsidRDefault="00FA2786" w:rsidP="00FA2786">
          <w:pPr>
            <w:pStyle w:val="534D5BE3B8304E8297AA3E006C771BAA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86"/>
    <w:rsid w:val="00966D9F"/>
    <w:rsid w:val="00AF4615"/>
    <w:rsid w:val="00CA4382"/>
    <w:rsid w:val="00DA57EC"/>
    <w:rsid w:val="00FA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7383F1E075C47CFB88F5FCDB85EEAAB">
    <w:name w:val="D7383F1E075C47CFB88F5FCDB85EEAAB"/>
    <w:rsid w:val="00FA2786"/>
  </w:style>
  <w:style w:type="paragraph" w:customStyle="1" w:styleId="534D5BE3B8304E8297AA3E006C771BAA">
    <w:name w:val="534D5BE3B8304E8297AA3E006C771BAA"/>
    <w:rsid w:val="00FA2786"/>
  </w:style>
  <w:style w:type="paragraph" w:customStyle="1" w:styleId="916BD5C1C29F4957B2AEFFF4115FE9D1">
    <w:name w:val="916BD5C1C29F4957B2AEFFF4115FE9D1"/>
    <w:rsid w:val="00FA2786"/>
  </w:style>
  <w:style w:type="paragraph" w:customStyle="1" w:styleId="E498143DA3FC4554A506BE79DB03FD14">
    <w:name w:val="E498143DA3FC4554A506BE79DB03FD14"/>
    <w:rsid w:val="00FA2786"/>
  </w:style>
  <w:style w:type="paragraph" w:customStyle="1" w:styleId="09C9C2BF8B294CEE87A82DC6AD79B00A">
    <w:name w:val="09C9C2BF8B294CEE87A82DC6AD79B00A"/>
    <w:rsid w:val="00FA2786"/>
  </w:style>
  <w:style w:type="paragraph" w:customStyle="1" w:styleId="A8E570F6E44642639B2A56DAE687E4FB">
    <w:name w:val="A8E570F6E44642639B2A56DAE687E4FB"/>
    <w:rsid w:val="00FA2786"/>
  </w:style>
  <w:style w:type="paragraph" w:customStyle="1" w:styleId="F6BC3D60CF1247B2AFD4D877C9B2FEEE">
    <w:name w:val="F6BC3D60CF1247B2AFD4D877C9B2FEEE"/>
    <w:rsid w:val="00DA57E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7383F1E075C47CFB88F5FCDB85EEAAB">
    <w:name w:val="D7383F1E075C47CFB88F5FCDB85EEAAB"/>
    <w:rsid w:val="00FA2786"/>
  </w:style>
  <w:style w:type="paragraph" w:customStyle="1" w:styleId="534D5BE3B8304E8297AA3E006C771BAA">
    <w:name w:val="534D5BE3B8304E8297AA3E006C771BAA"/>
    <w:rsid w:val="00FA2786"/>
  </w:style>
  <w:style w:type="paragraph" w:customStyle="1" w:styleId="916BD5C1C29F4957B2AEFFF4115FE9D1">
    <w:name w:val="916BD5C1C29F4957B2AEFFF4115FE9D1"/>
    <w:rsid w:val="00FA2786"/>
  </w:style>
  <w:style w:type="paragraph" w:customStyle="1" w:styleId="E498143DA3FC4554A506BE79DB03FD14">
    <w:name w:val="E498143DA3FC4554A506BE79DB03FD14"/>
    <w:rsid w:val="00FA2786"/>
  </w:style>
  <w:style w:type="paragraph" w:customStyle="1" w:styleId="09C9C2BF8B294CEE87A82DC6AD79B00A">
    <w:name w:val="09C9C2BF8B294CEE87A82DC6AD79B00A"/>
    <w:rsid w:val="00FA2786"/>
  </w:style>
  <w:style w:type="paragraph" w:customStyle="1" w:styleId="A8E570F6E44642639B2A56DAE687E4FB">
    <w:name w:val="A8E570F6E44642639B2A56DAE687E4FB"/>
    <w:rsid w:val="00FA2786"/>
  </w:style>
  <w:style w:type="paragraph" w:customStyle="1" w:styleId="F6BC3D60CF1247B2AFD4D877C9B2FEEE">
    <w:name w:val="F6BC3D60CF1247B2AFD4D877C9B2FEEE"/>
    <w:rsid w:val="00DA5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5A4950-3A89-412B-ABF1-705616970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Grande Bibliothèque du Droit</vt:lpstr>
    </vt:vector>
  </TitlesOfParts>
  <Company>Ordre des avocats de paris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Grande Bibliothèque du Droit</dc:title>
  <dc:subject>Les chiffres clés &amp; les partenariats</dc:subject>
  <dc:creator>AGNES SECRETAN</dc:creator>
  <cp:lastModifiedBy>Ariane BAUX</cp:lastModifiedBy>
  <cp:revision>2</cp:revision>
  <cp:lastPrinted>2017-06-30T16:29:00Z</cp:lastPrinted>
  <dcterms:created xsi:type="dcterms:W3CDTF">2018-02-01T15:51:00Z</dcterms:created>
  <dcterms:modified xsi:type="dcterms:W3CDTF">2018-02-01T15:51:00Z</dcterms:modified>
</cp:coreProperties>
</file>